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52" w:rsidRPr="00A44F50" w:rsidRDefault="00A44F50" w:rsidP="001936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4F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Program </w:t>
      </w:r>
      <w:r w:rsidR="00193652" w:rsidRPr="00A44F50">
        <w:rPr>
          <w:rFonts w:ascii="Times New Roman" w:eastAsia="Times New Roman" w:hAnsi="Times New Roman" w:cs="Times New Roman"/>
          <w:b/>
          <w:bCs/>
          <w:sz w:val="32"/>
          <w:szCs w:val="32"/>
        </w:rPr>
        <w:t>Completion Rates</w:t>
      </w:r>
    </w:p>
    <w:p w:rsidR="00193652" w:rsidRPr="00A44F50" w:rsidRDefault="00193652" w:rsidP="001936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4F50">
        <w:rPr>
          <w:rFonts w:ascii="Times New Roman" w:eastAsia="Times New Roman" w:hAnsi="Times New Roman" w:cs="Times New Roman"/>
          <w:b/>
          <w:bCs/>
          <w:sz w:val="32"/>
          <w:szCs w:val="32"/>
        </w:rPr>
        <w:t>PN Program</w:t>
      </w:r>
    </w:p>
    <w:p w:rsidR="00193652" w:rsidRPr="00A44F50" w:rsidRDefault="00193652" w:rsidP="00193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44F50">
        <w:rPr>
          <w:rFonts w:ascii="Times New Roman" w:eastAsia="Times New Roman" w:hAnsi="Times New Roman" w:cs="Times New Roman"/>
          <w:sz w:val="32"/>
          <w:szCs w:val="32"/>
        </w:rPr>
        <w:t>Academic Year (Fall, Spring, Summer)</w:t>
      </w:r>
    </w:p>
    <w:tbl>
      <w:tblPr>
        <w:tblW w:w="6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3122"/>
      </w:tblGrid>
      <w:tr w:rsidR="00193652" w:rsidRPr="00A44F50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A44F50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A44F50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Percentage</w:t>
            </w:r>
          </w:p>
        </w:tc>
      </w:tr>
      <w:tr w:rsidR="00193652" w:rsidRPr="00A44F50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A44F50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sz w:val="32"/>
                <w:szCs w:val="32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A44F50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sz w:val="32"/>
                <w:szCs w:val="32"/>
              </w:rPr>
              <w:t>72%</w:t>
            </w:r>
          </w:p>
        </w:tc>
      </w:tr>
      <w:tr w:rsidR="00193652" w:rsidRPr="00A44F50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A44F50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sz w:val="32"/>
                <w:szCs w:val="32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A44F50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sz w:val="32"/>
                <w:szCs w:val="32"/>
              </w:rPr>
              <w:t>70%</w:t>
            </w:r>
          </w:p>
        </w:tc>
      </w:tr>
      <w:tr w:rsidR="002808AB" w:rsidRPr="00A44F50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8AB" w:rsidRPr="00A44F50" w:rsidRDefault="002808AB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sz w:val="32"/>
                <w:szCs w:val="32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8AB" w:rsidRPr="00A44F50" w:rsidRDefault="002808AB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sz w:val="32"/>
                <w:szCs w:val="32"/>
              </w:rPr>
              <w:t>72%</w:t>
            </w:r>
          </w:p>
        </w:tc>
      </w:tr>
      <w:tr w:rsidR="00AF7410" w:rsidRPr="00A44F50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410" w:rsidRPr="00A44F50" w:rsidRDefault="00AF7410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sz w:val="32"/>
                <w:szCs w:val="32"/>
              </w:rPr>
              <w:t>2017-2018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410" w:rsidRPr="00A44F50" w:rsidRDefault="006B0C51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4F50">
              <w:rPr>
                <w:rFonts w:ascii="Times New Roman" w:eastAsia="Times New Roman" w:hAnsi="Times New Roman" w:cs="Times New Roman"/>
                <w:sz w:val="32"/>
                <w:szCs w:val="32"/>
              </w:rPr>
              <w:t>74.4%</w:t>
            </w:r>
          </w:p>
        </w:tc>
      </w:tr>
    </w:tbl>
    <w:p w:rsidR="00193652" w:rsidRPr="00193652" w:rsidRDefault="003070F4" w:rsidP="0030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Note: This table contains combined VU-Vincennes and VU-Jasper data.</w:t>
      </w:r>
      <w:bookmarkStart w:id="0" w:name="_GoBack"/>
      <w:bookmarkEnd w:id="0"/>
    </w:p>
    <w:p w:rsidR="002650D4" w:rsidRDefault="002650D4"/>
    <w:sectPr w:rsidR="002650D4" w:rsidSect="00A44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52"/>
    <w:rsid w:val="00193652"/>
    <w:rsid w:val="002650D4"/>
    <w:rsid w:val="002808AB"/>
    <w:rsid w:val="002D0F79"/>
    <w:rsid w:val="003070F4"/>
    <w:rsid w:val="006B0C51"/>
    <w:rsid w:val="0073327E"/>
    <w:rsid w:val="007622FB"/>
    <w:rsid w:val="00A44F50"/>
    <w:rsid w:val="00A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D0F3"/>
  <w15:chartTrackingRefBased/>
  <w15:docId w15:val="{C46AD6D7-8B34-4197-8EA7-1F6657C3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4</cp:revision>
  <dcterms:created xsi:type="dcterms:W3CDTF">2019-05-02T18:08:00Z</dcterms:created>
  <dcterms:modified xsi:type="dcterms:W3CDTF">2019-05-02T18:15:00Z</dcterms:modified>
</cp:coreProperties>
</file>